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CD26F" w14:textId="77777777" w:rsidR="007A7E45" w:rsidRPr="00FE4B89" w:rsidRDefault="007A7E45" w:rsidP="00FE4B89"/>
    <w:p w14:paraId="6E71B633" w14:textId="77777777" w:rsidR="000F02B8" w:rsidRDefault="00A512DA">
      <w:pPr>
        <w:pStyle w:val="Heading1"/>
      </w:pPr>
      <w:r>
        <w:t>OBRAZLOŽENJE OPĆEG DIJELA FINANCIJSKOG PLANA</w:t>
      </w:r>
    </w:p>
    <w:p w14:paraId="1B67C67B" w14:textId="77777777" w:rsidR="000F02B8" w:rsidRDefault="00A512DA">
      <w:pPr>
        <w:pStyle w:val="Heading2"/>
      </w:pPr>
      <w:r>
        <w:t>02540 Agencija za reviziju sustava provedbe programa Europske unije</w:t>
      </w:r>
    </w:p>
    <w:p w14:paraId="77360B36" w14:textId="77777777" w:rsidR="000F02B8" w:rsidRDefault="00A512DA">
      <w:r>
        <w:t xml:space="preserve">PRIHODI I PRIMICI </w:t>
      </w:r>
    </w:p>
    <w:p w14:paraId="6F590F19" w14:textId="77777777" w:rsidR="000F02B8" w:rsidRDefault="00A512DA">
      <w:r>
        <w:t xml:space="preserve">Plan za 2025.g. </w:t>
      </w:r>
    </w:p>
    <w:p w14:paraId="46A53548" w14:textId="77777777" w:rsidR="000F02B8" w:rsidRDefault="00A512DA">
      <w:r>
        <w:t xml:space="preserve">Ukupno planirani prihodi za 2025.g iznose 4.456.701€ i odnose se u ukupnom iznosu na prihode poslovanja. Od toga, se 2.999.742,00€ ili 67,31% odnosi na opće prihode i primitke; 77.243,00€ ili 1,73% na vlastite prihode i 1.379.716,00€ ili 30,96% na pomoći iz EU (izvor 5). </w:t>
      </w:r>
    </w:p>
    <w:p w14:paraId="4AF9E718" w14:textId="77777777" w:rsidR="000F02B8" w:rsidRDefault="00A512DA">
      <w:r>
        <w:t xml:space="preserve">U odnosu na projekciju za 2025.g. iz prethodnog razdoblja, planirani prihodi su veći za 7,81%. Uvećanja planiranih prihoda odnose se najvećim dijelom na pokrivanje rashoda za zaposlene zbog povećane osnovice i koeficijenata prema novim zakonskim propisima, povećanih materijalnih prava te planiranog zapošljavanja novih djelatnika  </w:t>
      </w:r>
    </w:p>
    <w:p w14:paraId="702358AF" w14:textId="77777777" w:rsidR="000F02B8" w:rsidRDefault="00A512DA">
      <w:r>
        <w:t xml:space="preserve">U 2025.g. planirani su prihodi u okviru nove aktivnosti Tehnička pomoć  u okviru drugog švicarskog doprinosa.  </w:t>
      </w:r>
    </w:p>
    <w:p w14:paraId="170E3108" w14:textId="77777777" w:rsidR="000F02B8" w:rsidRDefault="00A512DA">
      <w:r>
        <w:t xml:space="preserve"> </w:t>
      </w:r>
    </w:p>
    <w:p w14:paraId="167BB256" w14:textId="77777777" w:rsidR="000F02B8" w:rsidRDefault="00A512DA">
      <w:r>
        <w:t xml:space="preserve">Projekcija za 2026.g. </w:t>
      </w:r>
    </w:p>
    <w:p w14:paraId="22754A16" w14:textId="77777777" w:rsidR="000F02B8" w:rsidRDefault="00A512DA">
      <w:r>
        <w:t xml:space="preserve">Ukupno planirani prihodi za 2026.g iznose 4.388.279,00 € i odnose se u ukupnom iznosu na prihode poslovanja. Od toga se 2.996.210,00 € ili 68,28% odnosi na opće prihode i primitke; 27.243,00€ ili 0,62% na vlastite prihode i 1.364.826,00 € ili 31,10% na pomoći iz EU (izvor 5). </w:t>
      </w:r>
    </w:p>
    <w:p w14:paraId="08A7F45B" w14:textId="77777777" w:rsidR="000F02B8" w:rsidRDefault="00A512DA">
      <w:r>
        <w:t xml:space="preserve">U odnosu na projekciju za 2026.g. iz prethodnog razdoblja, projekcija  za 2026.g. u ovom financijskom planu veća je za 7,97%. Uvećanja planiranih prihoda odnose se najvećim dijelom na pokrivanje rashoda za zaposlene. </w:t>
      </w:r>
    </w:p>
    <w:p w14:paraId="2E55E9AD" w14:textId="77777777" w:rsidR="000F02B8" w:rsidRDefault="00A512DA">
      <w:r>
        <w:t xml:space="preserve">U 2026.g planirani su znatno manji vlastiti prihodi zbog završetka Twininng projekata u okviru kojih ostvarujemo vlastite prihode. </w:t>
      </w:r>
    </w:p>
    <w:p w14:paraId="30F2688A" w14:textId="77777777" w:rsidR="000F02B8" w:rsidRDefault="00A512DA">
      <w:r>
        <w:t xml:space="preserve"> </w:t>
      </w:r>
    </w:p>
    <w:p w14:paraId="5EA1560A" w14:textId="77777777" w:rsidR="000F02B8" w:rsidRDefault="00A512DA">
      <w:r>
        <w:t xml:space="preserve">Projekcija za 2027.g. </w:t>
      </w:r>
    </w:p>
    <w:p w14:paraId="6E6EAAA7" w14:textId="77777777" w:rsidR="000F02B8" w:rsidRDefault="00A512DA">
      <w:r>
        <w:t xml:space="preserve">Ukupno planirani prihodi za 2027.g iznose 4.396.847,00€ i odnose se u ukupnom iznosu na prihode poslovanja. Od toga se 2.998.238,00 € ili 68,19% odnosi na opće prihode i primitke; 27.243€ ili 0,62% na vlastite prihode i 1.371.366,00 € ili 31,19% na pomoći iz EU (izvor 5). </w:t>
      </w:r>
    </w:p>
    <w:p w14:paraId="2695AD86" w14:textId="77777777" w:rsidR="000F02B8" w:rsidRDefault="00A512DA">
      <w:r>
        <w:t xml:space="preserve"> </w:t>
      </w:r>
    </w:p>
    <w:p w14:paraId="572EB409" w14:textId="77777777" w:rsidR="000F02B8" w:rsidRDefault="00A512DA">
      <w:r>
        <w:t xml:space="preserve">RASHODI I IZDACI </w:t>
      </w:r>
    </w:p>
    <w:p w14:paraId="35BDAC9D" w14:textId="77777777" w:rsidR="000F02B8" w:rsidRDefault="00A512DA">
      <w:r>
        <w:t xml:space="preserve">Plan za 2025.g. </w:t>
      </w:r>
    </w:p>
    <w:p w14:paraId="4893D9BA" w14:textId="77777777" w:rsidR="000F02B8" w:rsidRDefault="00A512DA">
      <w:r>
        <w:t xml:space="preserve">Ukupno planirani rashodi za 2025.g iznose 4.496.701,00 € od čega se 4.473.201,00€ odnosi na rashode poslovanja i 23.500,00 € na rashode za nabavu nefinancijske imovine. </w:t>
      </w:r>
    </w:p>
    <w:p w14:paraId="6B14947A" w14:textId="77777777" w:rsidR="000F02B8" w:rsidRDefault="00A512DA">
      <w:r>
        <w:t xml:space="preserve">Od ukupno planiranih rashoda 33.29% odnosi se na sredstva tehničke pomoći iz EU i vlastita sredstva. </w:t>
      </w:r>
    </w:p>
    <w:p w14:paraId="0F90F958" w14:textId="77777777" w:rsidR="000F02B8" w:rsidRDefault="00A512DA">
      <w:r>
        <w:t xml:space="preserve">Najznačajniji planirani rashodi odnose se na rashode za zaposlene (78,59%).  </w:t>
      </w:r>
    </w:p>
    <w:p w14:paraId="47BA6389" w14:textId="77777777" w:rsidR="000F02B8" w:rsidRDefault="00A512DA">
      <w:r>
        <w:t xml:space="preserve">U 2025.g. planirani su rashodi u okviru nove aktivnosti Tehnička pomoć  u okviru drugog švicarskog doprinosa. </w:t>
      </w:r>
    </w:p>
    <w:p w14:paraId="54894BF2" w14:textId="77777777" w:rsidR="000F02B8" w:rsidRDefault="00A512DA">
      <w:r>
        <w:t xml:space="preserve"> </w:t>
      </w:r>
    </w:p>
    <w:p w14:paraId="32336033" w14:textId="77777777" w:rsidR="000F02B8" w:rsidRDefault="00A512DA">
      <w:r>
        <w:t xml:space="preserve">Projekcija za 2026.g. </w:t>
      </w:r>
    </w:p>
    <w:p w14:paraId="77FE63D5" w14:textId="77777777" w:rsidR="000F02B8" w:rsidRDefault="00A512DA">
      <w:r>
        <w:t xml:space="preserve">Ukupno planirani rashodi za 2026.g iznose 4.388.279,00€ od čega se 4.370.779,00€ odnosi na rashode poslovanja i 17.500,00 € na rashode za nabavu nefinancijske imovine.  </w:t>
      </w:r>
    </w:p>
    <w:p w14:paraId="7548E460" w14:textId="77777777" w:rsidR="000F02B8" w:rsidRDefault="00A512DA">
      <w:r>
        <w:t xml:space="preserve">Od ukupno planiranih rashoda 31,72%  odnosi se na sredstva tehničke pomoći iz EU i vlastita sredstva. </w:t>
      </w:r>
    </w:p>
    <w:p w14:paraId="086E3CC7" w14:textId="77777777" w:rsidR="000F02B8" w:rsidRDefault="00A512DA">
      <w:r>
        <w:t xml:space="preserve">Najznačajniji planirani rashodi odnose se na rashode za zaposlene (79,05%). </w:t>
      </w:r>
    </w:p>
    <w:p w14:paraId="081E4230" w14:textId="77777777" w:rsidR="000F02B8" w:rsidRDefault="00A512DA">
      <w:r>
        <w:t xml:space="preserve">U 2026.g planirani su manji rashodi iz vlastitih sredstava zbog završetka Twininng projekata u okviru kojih smo imali rashode iz vlastitih sredstava. </w:t>
      </w:r>
    </w:p>
    <w:p w14:paraId="0BDDDF24" w14:textId="77777777" w:rsidR="000F02B8" w:rsidRDefault="00A512DA">
      <w:r>
        <w:lastRenderedPageBreak/>
        <w:t xml:space="preserve"> </w:t>
      </w:r>
    </w:p>
    <w:p w14:paraId="59C6284A" w14:textId="77777777" w:rsidR="000F02B8" w:rsidRDefault="00A512DA">
      <w:r>
        <w:t xml:space="preserve"> </w:t>
      </w:r>
    </w:p>
    <w:p w14:paraId="22049246" w14:textId="77777777" w:rsidR="000F02B8" w:rsidRDefault="00A512DA">
      <w:r>
        <w:t xml:space="preserve">Projekcija za 2027.g. </w:t>
      </w:r>
    </w:p>
    <w:p w14:paraId="246C56C8" w14:textId="77777777" w:rsidR="000F02B8" w:rsidRDefault="00A512DA">
      <w:r>
        <w:t xml:space="preserve">Ukupno planirani rashodi za 2027.g iznose 4.396.847,00€ od čega se 4.379.347,00€ odnosi na rashode poslovanja i 17.500,00 € na rashode za nabavu nefinancijske imovine.  </w:t>
      </w:r>
    </w:p>
    <w:p w14:paraId="6B49F7D7" w14:textId="77777777" w:rsidR="000F02B8" w:rsidRDefault="00A512DA">
      <w:r>
        <w:t xml:space="preserve">Od ukupno planiranih rashoda 31,81% odnosi se na sredstva tehničke pomoći iz EU i vlastita sredstva. </w:t>
      </w:r>
    </w:p>
    <w:p w14:paraId="0FB5F45C" w14:textId="77777777" w:rsidR="000F02B8" w:rsidRDefault="00A512DA">
      <w:r>
        <w:t xml:space="preserve">Najznačajniji planirani rashodi odnose se na rashode za zaposlene (79,09%).  </w:t>
      </w:r>
    </w:p>
    <w:p w14:paraId="526C2DA2" w14:textId="77777777" w:rsidR="000F02B8" w:rsidRDefault="00A512DA">
      <w:r>
        <w:t xml:space="preserve">U 2026.g planirani su manji rashodi iz vlastitih sredstava zbog završetka Twininng projekata u okviru kojih smo imali rashode iz vlastitih sredstava </w:t>
      </w:r>
    </w:p>
    <w:p w14:paraId="1B1F933E" w14:textId="77777777" w:rsidR="000F02B8" w:rsidRDefault="00A512DA">
      <w:r>
        <w:t xml:space="preserve"> </w:t>
      </w:r>
    </w:p>
    <w:p w14:paraId="256080E0" w14:textId="77777777" w:rsidR="000F02B8" w:rsidRDefault="00A512DA">
      <w:r>
        <w:t xml:space="preserve"> </w:t>
      </w:r>
    </w:p>
    <w:p w14:paraId="023CD291" w14:textId="77777777" w:rsidR="000F02B8" w:rsidRDefault="00A512DA">
      <w:r>
        <w:t xml:space="preserve">PRIJENOS SREDSTAVA IZ PRETHODNE U SLJEDEĆU GODINU </w:t>
      </w:r>
    </w:p>
    <w:p w14:paraId="7266B933" w14:textId="77777777" w:rsidR="000F02B8" w:rsidRDefault="00A512DA">
      <w:r>
        <w:t xml:space="preserve">Sredstva za koja ARPA iskazuje donos i odnos u planu, odnose se na vlastita sredstva ostvarena u okviru Twinning projekata koja se uplaćuju u riznicu ugovorenim tempom u skladu s Konzorcijskim sporazumom. </w:t>
      </w:r>
    </w:p>
    <w:p w14:paraId="69DBC008" w14:textId="77777777" w:rsidR="000F02B8" w:rsidRDefault="00A512DA">
      <w:r>
        <w:t xml:space="preserve">Vlastitim sredstvima ostvarenim u ovim projektima podmiruju se rashodi vezani uz realizaciju Twinning ugovora, materijalne rashode nastale temeljem sklopljenog Twinning ugovora i druge rashode vezane uz realizaciju projekta.  </w:t>
      </w:r>
    </w:p>
    <w:p w14:paraId="2E62D00B" w14:textId="77777777" w:rsidR="000F02B8" w:rsidRDefault="00A512DA">
      <w:r>
        <w:t xml:space="preserve">Donos sredstava u 2025.g. iskazan je u predviđenom iznosu neiskorištenih vlastitih sredstava u 2024.g. </w:t>
      </w:r>
    </w:p>
    <w:p w14:paraId="1FD4075F" w14:textId="77777777" w:rsidR="000F02B8" w:rsidRDefault="00A512DA">
      <w:r>
        <w:t xml:space="preserve">Po istom principu iskazan je odnos sredstava u 2026.g te donosi i odnosi u projekcijama za 2026. i 2027.g.  </w:t>
      </w:r>
    </w:p>
    <w:p w14:paraId="242B8508" w14:textId="77777777" w:rsidR="000F02B8" w:rsidRDefault="00A512DA">
      <w:r>
        <w:t xml:space="preserve"> </w:t>
      </w:r>
    </w:p>
    <w:p w14:paraId="349B3C41" w14:textId="77777777" w:rsidR="000F02B8" w:rsidRDefault="00A512DA">
      <w:r>
        <w:t xml:space="preserve">UKUPNE I DOSPJELE OBVEZE </w:t>
      </w:r>
    </w:p>
    <w:p w14:paraId="426353DE" w14:textId="77777777" w:rsidR="000F02B8" w:rsidRDefault="00A512DA">
      <w:r>
        <w:t>Stanje obveza na dan</w:t>
      </w:r>
      <w:r>
        <w:tab/>
        <w:t>31.12.2023.</w:t>
      </w:r>
      <w:r>
        <w:tab/>
        <w:t xml:space="preserve">30.06.2024. </w:t>
      </w:r>
    </w:p>
    <w:p w14:paraId="779545B6" w14:textId="77777777" w:rsidR="000F02B8" w:rsidRDefault="00A512DA">
      <w:r>
        <w:t>Ukupne obveze</w:t>
      </w:r>
      <w:r>
        <w:tab/>
        <w:t>263.963,19€</w:t>
      </w:r>
      <w:r>
        <w:tab/>
        <w:t xml:space="preserve">256.740,07€ </w:t>
      </w:r>
    </w:p>
    <w:p w14:paraId="34A03DB2" w14:textId="77777777" w:rsidR="000F02B8" w:rsidRDefault="00A512DA">
      <w:r>
        <w:t>Dospjele obveze</w:t>
      </w:r>
      <w:r>
        <w:tab/>
        <w:t>0</w:t>
      </w:r>
      <w:r>
        <w:tab/>
        <w:t xml:space="preserve">0 </w:t>
      </w:r>
    </w:p>
    <w:p w14:paraId="026BA2C5" w14:textId="77777777" w:rsidR="000F02B8" w:rsidRDefault="00A512DA">
      <w:r>
        <w:t xml:space="preserve"> </w:t>
      </w:r>
    </w:p>
    <w:p w14:paraId="76500F84" w14:textId="77777777" w:rsidR="000F02B8" w:rsidRDefault="00A512DA">
      <w:r>
        <w:t xml:space="preserve"> </w:t>
      </w:r>
    </w:p>
    <w:p w14:paraId="787044BF" w14:textId="77777777" w:rsidR="000F02B8" w:rsidRDefault="00A512DA">
      <w:r>
        <w:t>Agencija za reviziju sustava provedbe programa EU nema dospjelih obveza na 31.12.2023. niti  na 30.06.2024.</w:t>
      </w:r>
    </w:p>
    <w:sectPr w:rsidR="000F02B8" w:rsidSect="00F91724">
      <w:headerReference w:type="default" r:id="rId7"/>
      <w:footerReference w:type="default" r:id="rId8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47692" w14:textId="77777777" w:rsidR="007A7E45" w:rsidRDefault="007A7E45" w:rsidP="00F352E6">
      <w:r>
        <w:separator/>
      </w:r>
    </w:p>
  </w:endnote>
  <w:endnote w:type="continuationSeparator" w:id="0">
    <w:p w14:paraId="74C5BE3F" w14:textId="77777777" w:rsidR="007A7E45" w:rsidRDefault="007A7E45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644F3" w14:textId="77777777" w:rsidR="00A512DA" w:rsidRPr="00D769ED" w:rsidRDefault="00A512DA" w:rsidP="007D4430">
    <w:pPr>
      <w:pStyle w:val="Footer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EF1A8" w14:textId="77777777" w:rsidR="007A7E45" w:rsidRDefault="007A7E45" w:rsidP="00F352E6">
      <w:r>
        <w:separator/>
      </w:r>
    </w:p>
  </w:footnote>
  <w:footnote w:type="continuationSeparator" w:id="0">
    <w:p w14:paraId="07F7F9BB" w14:textId="77777777" w:rsidR="007A7E45" w:rsidRDefault="007A7E45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222EE" w14:textId="77777777" w:rsidR="00A512DA" w:rsidRDefault="00A512DA" w:rsidP="00A70582">
    <w:pPr>
      <w:pStyle w:val="Header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13A1A"/>
    <w:rsid w:val="0002533C"/>
    <w:rsid w:val="000352D6"/>
    <w:rsid w:val="000C0A6C"/>
    <w:rsid w:val="000F02B8"/>
    <w:rsid w:val="0010779D"/>
    <w:rsid w:val="0013155A"/>
    <w:rsid w:val="0017490A"/>
    <w:rsid w:val="001E5246"/>
    <w:rsid w:val="0027042C"/>
    <w:rsid w:val="00311AA1"/>
    <w:rsid w:val="00382225"/>
    <w:rsid w:val="00386953"/>
    <w:rsid w:val="00463609"/>
    <w:rsid w:val="00480C76"/>
    <w:rsid w:val="004C01B5"/>
    <w:rsid w:val="0052289C"/>
    <w:rsid w:val="00524A66"/>
    <w:rsid w:val="00526A7C"/>
    <w:rsid w:val="005A70C0"/>
    <w:rsid w:val="005B6ED7"/>
    <w:rsid w:val="005E2D85"/>
    <w:rsid w:val="00633683"/>
    <w:rsid w:val="00674346"/>
    <w:rsid w:val="006B3283"/>
    <w:rsid w:val="007665AA"/>
    <w:rsid w:val="007A7E45"/>
    <w:rsid w:val="007D1C46"/>
    <w:rsid w:val="007D395B"/>
    <w:rsid w:val="007D4430"/>
    <w:rsid w:val="00847495"/>
    <w:rsid w:val="008636E2"/>
    <w:rsid w:val="008A7E2A"/>
    <w:rsid w:val="009359F2"/>
    <w:rsid w:val="0094382E"/>
    <w:rsid w:val="00951B1A"/>
    <w:rsid w:val="009E33D3"/>
    <w:rsid w:val="00A021A2"/>
    <w:rsid w:val="00A320E5"/>
    <w:rsid w:val="00A512DA"/>
    <w:rsid w:val="00A70582"/>
    <w:rsid w:val="00AB5FEA"/>
    <w:rsid w:val="00AB7B4E"/>
    <w:rsid w:val="00B15946"/>
    <w:rsid w:val="00B2737F"/>
    <w:rsid w:val="00B31E2E"/>
    <w:rsid w:val="00B41BF8"/>
    <w:rsid w:val="00BA487B"/>
    <w:rsid w:val="00BA7BD1"/>
    <w:rsid w:val="00BB642B"/>
    <w:rsid w:val="00BF02E9"/>
    <w:rsid w:val="00BF3F24"/>
    <w:rsid w:val="00C7470A"/>
    <w:rsid w:val="00DE2416"/>
    <w:rsid w:val="00E42E87"/>
    <w:rsid w:val="00E62EF0"/>
    <w:rsid w:val="00ED0E3A"/>
    <w:rsid w:val="00F352E6"/>
    <w:rsid w:val="00F67315"/>
    <w:rsid w:val="00F91724"/>
    <w:rsid w:val="00F92AEE"/>
    <w:rsid w:val="00FA1E54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63CF4D6"/>
  <w15:docId w15:val="{8B5D75BC-09A8-4A24-AF6B-EA091288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Heading1">
    <w:name w:val="heading 1"/>
    <w:basedOn w:val="Normal"/>
    <w:next w:val="Normal"/>
    <w:link w:val="Heading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Heading8">
    <w:name w:val="heading 8"/>
    <w:basedOn w:val="Normal6"/>
    <w:next w:val="Normal"/>
    <w:link w:val="Heading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Heading2Char">
    <w:name w:val="Heading 2 Char"/>
    <w:basedOn w:val="DefaultParagraphFont"/>
    <w:link w:val="Heading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Heading3Char">
    <w:name w:val="Heading 3 Char"/>
    <w:basedOn w:val="DefaultParagraphFont"/>
    <w:link w:val="Heading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Heading4Char">
    <w:name w:val="Heading 4 Char"/>
    <w:basedOn w:val="DefaultParagraphFont"/>
    <w:link w:val="Heading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Heading5Char">
    <w:name w:val="Heading 5 Char"/>
    <w:basedOn w:val="DefaultParagraphFont"/>
    <w:link w:val="Heading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Heading6Char">
    <w:name w:val="Heading 6 Char"/>
    <w:basedOn w:val="DefaultParagraphFont"/>
    <w:link w:val="Heading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Heading7Char">
    <w:name w:val="Heading 7 Char"/>
    <w:basedOn w:val="DefaultParagraphFont"/>
    <w:link w:val="Heading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Footer">
    <w:name w:val="footer"/>
    <w:basedOn w:val="Normal"/>
    <w:link w:val="Footer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FooterChar">
    <w:name w:val="Footer Char"/>
    <w:basedOn w:val="DefaultParagraphFont"/>
    <w:link w:val="Footer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DefaultParagraphFont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DefaultParagraphFont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DefaultParagraphFont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Emphasis">
    <w:name w:val="Emphasis"/>
    <w:basedOn w:val="DefaultParagraphFont"/>
    <w:qFormat/>
    <w:rsid w:val="00480C76"/>
    <w:rPr>
      <w:b/>
      <w:bCs/>
      <w:i w:val="0"/>
      <w:iCs w:val="0"/>
    </w:rPr>
  </w:style>
  <w:style w:type="character" w:styleId="Strong">
    <w:name w:val="Strong"/>
    <w:basedOn w:val="DefaultParagraphFont"/>
    <w:qFormat/>
    <w:rsid w:val="00480C76"/>
    <w:rPr>
      <w:b/>
      <w:bCs/>
    </w:rPr>
  </w:style>
  <w:style w:type="character" w:styleId="Hyperlink">
    <w:name w:val="Hyperlink"/>
    <w:basedOn w:val="DefaultParagraphFont"/>
    <w:rsid w:val="00480C76"/>
    <w:rPr>
      <w:color w:val="0000FF"/>
      <w:u w:val="single"/>
    </w:rPr>
  </w:style>
  <w:style w:type="table" w:styleId="TableGrid">
    <w:name w:val="Table Grid"/>
    <w:basedOn w:val="TableNormal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DefaultParagraphFont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Heading8Char">
    <w:name w:val="Heading 8 Char"/>
    <w:basedOn w:val="DefaultParagraphFont"/>
    <w:link w:val="Heading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TableNormal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TableNormal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35C74-F0A5-43D9-90B4-B27B2CF5F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Marasović</dc:creator>
  <cp:lastModifiedBy>Ivana Patalen</cp:lastModifiedBy>
  <cp:revision>2</cp:revision>
  <dcterms:created xsi:type="dcterms:W3CDTF">2024-11-11T11:55:00Z</dcterms:created>
  <dcterms:modified xsi:type="dcterms:W3CDTF">2024-11-11T11:55:00Z</dcterms:modified>
</cp:coreProperties>
</file>